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15B" w:rsidRPr="0071415B" w:rsidRDefault="0071415B" w:rsidP="0071415B">
      <w:pPr>
        <w:pStyle w:val="a3"/>
        <w:spacing w:before="5"/>
        <w:rPr>
          <w:rFonts w:ascii="Arial" w:hAnsi="Arial" w:cs="Arial"/>
        </w:rPr>
      </w:pPr>
    </w:p>
    <w:p w:rsidR="0071415B" w:rsidRPr="0071415B" w:rsidRDefault="0071415B" w:rsidP="0071415B">
      <w:r>
        <w:t>1. Informations générales</w:t>
      </w:r>
    </w:p>
    <w:p w:rsidR="0071415B" w:rsidRPr="0071415B" w:rsidRDefault="0071415B" w:rsidP="0071415B"/>
    <w:p w:rsidR="0071415B" w:rsidRPr="0071415B" w:rsidRDefault="0071415B" w:rsidP="0071415B">
      <w:r>
        <w:t xml:space="preserve">1-1. Directives générales </w:t>
      </w:r>
    </w:p>
    <w:p w:rsidR="0071415B" w:rsidRPr="0071415B" w:rsidRDefault="0071415B" w:rsidP="0071415B"/>
    <w:p w:rsidR="0071415B" w:rsidRPr="0071415B" w:rsidRDefault="0071415B" w:rsidP="0071415B">
      <w:r>
        <w:t xml:space="preserve">Pendant la maintenance, respectez les circuits originaux. En cas de court-circuit, remplacez les pièces ayant surchauffé ou ont été endommagées par le court-circuit. </w:t>
      </w:r>
    </w:p>
    <w:p w:rsidR="0071415B" w:rsidRPr="0071415B" w:rsidRDefault="0071415B" w:rsidP="0071415B">
      <w:r>
        <w:t xml:space="preserve">Après la maintenance, assurez-vous de remettre en place tous les dispositifs de sécurité, comme les barrières d’isolation et les boucliers de papier. </w:t>
      </w:r>
    </w:p>
    <w:p w:rsidR="0071415B" w:rsidRPr="0071415B" w:rsidRDefault="0071415B" w:rsidP="0071415B"/>
    <w:p w:rsidR="0071415B" w:rsidRPr="0071415B" w:rsidRDefault="0071415B" w:rsidP="0071415B">
      <w:r>
        <w:t xml:space="preserve">Après la maintenance, vérifiez toutes les sources possible de fuite de courant pour éviter les dangers d’électrocution par l’utilisateur. </w:t>
      </w:r>
    </w:p>
    <w:p w:rsidR="002E6F2B" w:rsidRDefault="0071415B" w:rsidP="0071415B">
      <w:r>
        <w:t xml:space="preserve">1) Vérification à froid de fuite de courant </w:t>
      </w:r>
    </w:p>
    <w:p w:rsidR="0071415B" w:rsidRPr="0071415B" w:rsidRDefault="0071415B" w:rsidP="0071415B">
      <w:r>
        <w:t xml:space="preserve">2) Vérification à chaud de fuite de courant </w:t>
      </w:r>
    </w:p>
    <w:p w:rsidR="002E6F2B" w:rsidRDefault="0071415B" w:rsidP="0071415B">
      <w:r>
        <w:t xml:space="preserve">3) Prévention de décharge électrostatique (ESD) pour l’électrosensible </w:t>
      </w:r>
    </w:p>
    <w:p w:rsidR="002E6F2B" w:rsidRDefault="002E6F2B" w:rsidP="0071415B"/>
    <w:p w:rsidR="0071415B" w:rsidRPr="0071415B" w:rsidRDefault="0071415B" w:rsidP="0071415B">
      <w:r>
        <w:t xml:space="preserve">1-2. Déclaration importante </w:t>
      </w:r>
    </w:p>
    <w:p w:rsidR="0071415B" w:rsidRPr="0071415B" w:rsidRDefault="0071415B" w:rsidP="0071415B">
      <w:r>
        <w:t xml:space="preserve">1-2-1. Respectez toutes les réglementations et avertissements </w:t>
      </w:r>
    </w:p>
    <w:p w:rsidR="0071415B" w:rsidRPr="0071415B" w:rsidRDefault="0071415B" w:rsidP="0071415B">
      <w:r>
        <w:t xml:space="preserve">Le plus important est de dresser la liste des dangers et risques potentiels pour le personnel de service lorsqu’il ouvre l’unité ou la démonte. Par exemple, nous devons décrire exactement comment éviter les risques d’électrocution par l’alimentation lorsque l’appareil est branché ou par les pièces chargées électriquement (même si l’appareil est éteint). </w:t>
      </w:r>
    </w:p>
    <w:p w:rsidR="0071415B" w:rsidRPr="0071415B" w:rsidRDefault="0071415B" w:rsidP="0071415B">
      <w:r>
        <w:t xml:space="preserve">Ce symbole indique la présence d'une haute tension à l’intérieur. Il est dangereux de toucher toute pièce contenue dans ce produit. </w:t>
      </w:r>
    </w:p>
    <w:p w:rsidR="0071415B" w:rsidRPr="00587728" w:rsidRDefault="0071415B" w:rsidP="0071415B">
      <w:pPr>
        <w:rPr>
          <w:rFonts w:eastAsiaTheme="minorEastAsia"/>
        </w:rPr>
      </w:pPr>
      <w:r>
        <w:t>Ce symbole indique que cette section du document indique une informations importante d'utilisation et de maintenance pour l’appareil qu’il accompagne. 1-2-2. Faites attention aux risques d’électrocution</w:t>
      </w:r>
    </w:p>
    <w:p w:rsidR="0071415B" w:rsidRPr="0071415B" w:rsidRDefault="0071415B" w:rsidP="0071415B">
      <w:r>
        <w:t xml:space="preserve">Pour éviter tout dommage résultant d'une électrocution ou d’un incendie, n’exposez pas ce téléviseur à la pluie ou à une humidité extrême. Ce téléviseur ne doit pas être exposé à des égouttements ou à des éclaboussures d'eau et aucun objet rempli de liquide tel que des vases ne doit être placé sur l'appareil ou au-dessus de ce dernier. 1-2-3. Décharge électrostatique (ESD) </w:t>
      </w:r>
    </w:p>
    <w:p w:rsidR="0071415B" w:rsidRPr="0071415B" w:rsidRDefault="0071415B" w:rsidP="0071415B">
      <w:r>
        <w:t xml:space="preserve">Certains semiconducteurs (état solide) peuvent être facilement endommagés par l’électricité statique. Ces composants sont souvent appelés Appareils électrostatiquement sensibles (ES) Utilisez les techniques suivantes pour aider à réduire les risques de dommage causés par une décharge électrostatique (ESD) sur les composants. </w:t>
      </w:r>
    </w:p>
    <w:p w:rsidR="002E6F2B" w:rsidRDefault="002E6F2B" w:rsidP="0071415B"/>
    <w:p w:rsidR="0071415B" w:rsidRPr="0071415B" w:rsidRDefault="0071415B" w:rsidP="0071415B">
      <w:r>
        <w:t xml:space="preserve">1-2-4. Remarque sur la soudure sans plomb (PbF) </w:t>
      </w:r>
    </w:p>
    <w:p w:rsidR="0071415B" w:rsidRPr="0071415B" w:rsidRDefault="0071415B" w:rsidP="0071415B">
      <w:r>
        <w:t xml:space="preserve">Ce produit est fabriqué avec de la soudure sans plomb qui suit la tendance de l’industrie des produits grand public qui consiste à être aussi respectueux de l’environnement que possible. Le matériau de soudure utilisé lors des réparations et de la maintenance doit être sans plomb. </w:t>
      </w:r>
    </w:p>
    <w:p w:rsidR="002E6F2B" w:rsidRDefault="002E6F2B" w:rsidP="0071415B"/>
    <w:p w:rsidR="0071415B" w:rsidRPr="0071415B" w:rsidRDefault="0071415B" w:rsidP="0071415B">
      <w:r>
        <w:t xml:space="preserve">1-2-5. Utilisation des pièces remplaçables (pièces spécifiques) </w:t>
      </w:r>
    </w:p>
    <w:p w:rsidR="0071415B" w:rsidRPr="0071415B" w:rsidRDefault="002E6F2B" w:rsidP="0071415B">
      <w:r>
        <w:t xml:space="preserve">Pièces spéciales ayant le but spécifique de protéger contre les incendies (résistances), de gérer le son de haute qualité (condensateurs), réduire le bruit (résistances), etc. Lorsque vous remplacez des composants assurez-vous de n’utiliser que les pièces spécifiées dans la liste des pièces. </w:t>
      </w:r>
    </w:p>
    <w:p w:rsidR="0071415B" w:rsidRPr="0071415B" w:rsidRDefault="0071415B" w:rsidP="0071415B">
      <w:r>
        <w:t xml:space="preserve">Composants de sécurité : les composants identifiés par cette marque ont des caractéristiques spécialement importantes pour la sécurité. </w:t>
      </w:r>
    </w:p>
    <w:p w:rsidR="002E6F2B" w:rsidRDefault="002E6F2B" w:rsidP="0071415B"/>
    <w:p w:rsidR="0071415B" w:rsidRPr="0071415B" w:rsidRDefault="0071415B" w:rsidP="0071415B">
      <w:r>
        <w:t xml:space="preserve">1-2-6 Contrôle de sécurité après réparation :  Confirmez que les vis, pièces et câblages retirés pendant la maintenance sont remis dans leur position d’origine, et que la surface qui les entoure n’a pas subi de dommages pendant l’opération. Vérifiez l’isolation entre le terminal d’antenne et la surface métallique externe, ainsi que les broches de la prise CA. Ceci est important pour la sécurité. </w:t>
      </w:r>
    </w:p>
    <w:p w:rsidR="0071415B" w:rsidRPr="0071415B" w:rsidRDefault="0071415B" w:rsidP="0071415B">
      <w:r>
        <w:t xml:space="preserve">Précautions de sécurité générales pendant la maintenance </w:t>
      </w:r>
    </w:p>
    <w:p w:rsidR="0071415B" w:rsidRPr="0071415B" w:rsidRDefault="0071415B" w:rsidP="0071415B"/>
    <w:p w:rsidR="0071415B" w:rsidRPr="0071415B" w:rsidRDefault="0071415B" w:rsidP="0071415B">
      <w:r>
        <w:lastRenderedPageBreak/>
        <w:t xml:space="preserve">Débranchez toujours le cordon d’alimentation CA de la source d’alimentation avant de ; </w:t>
      </w:r>
    </w:p>
    <w:p w:rsidR="0071415B" w:rsidRPr="0071415B" w:rsidRDefault="0071415B" w:rsidP="0071415B"/>
    <w:p w:rsidR="0071415B" w:rsidRPr="0071415B" w:rsidRDefault="0071415B" w:rsidP="0071415B">
      <w:r>
        <w:t xml:space="preserve">Retirer ou réinstaller un composant, un module de carte à circuits imprimés ou un autre assemblage du récepteur. </w:t>
      </w:r>
    </w:p>
    <w:p w:rsidR="0071415B" w:rsidRPr="0071415B" w:rsidRDefault="0071415B" w:rsidP="0071415B">
      <w:r>
        <w:t xml:space="preserve">Déconnecter ou reconnecter une prise électrique du récepteur ou effectuer toute connexion électrique. </w:t>
      </w:r>
    </w:p>
    <w:p w:rsidR="0071415B" w:rsidRPr="0071415B" w:rsidRDefault="0071415B" w:rsidP="0071415B">
      <w:r>
        <w:t xml:space="preserve">Connecter un substitut de test en parallèle d’un condensateur électrolytique au récepteur. ATTENTION : Le remplacement par une pièce incorrecte ou dans le mauvais sens de polarité des condensateurs électrolytiques peut causer une explosion. </w:t>
      </w:r>
    </w:p>
    <w:p w:rsidR="0071415B" w:rsidRPr="0071415B" w:rsidRDefault="0071415B" w:rsidP="0071415B">
      <w:r>
        <w:t xml:space="preserve">Testez les hautes tensions seulement à l’aide d’un tensiomètre approprié ou un autre dispositif de mesure de la tension (DVM, FETVOM, etc.) équipé d’une sonde à haute tension adaptée. </w:t>
      </w:r>
    </w:p>
    <w:p w:rsidR="0071415B" w:rsidRPr="0071415B" w:rsidRDefault="0071415B" w:rsidP="0071415B">
      <w:r>
        <w:t xml:space="preserve">Ne testez pas la haute tension en « tirant un arc ». </w:t>
      </w:r>
    </w:p>
    <w:p w:rsidR="0071415B" w:rsidRPr="0071415B" w:rsidRDefault="0071415B" w:rsidP="0071415B"/>
    <w:p w:rsidR="0071415B" w:rsidRPr="0071415B" w:rsidRDefault="0071415B" w:rsidP="0071415B">
      <w:r>
        <w:t xml:space="preserve">Ne vaporisez pas de produits chimiques sur ou à proximité de ce récepteur ou sur l’un de ses assemblages. </w:t>
      </w:r>
    </w:p>
    <w:p w:rsidR="0071415B" w:rsidRPr="0071415B" w:rsidRDefault="0071415B" w:rsidP="0071415B"/>
    <w:p w:rsidR="0071415B" w:rsidRPr="0071415B" w:rsidRDefault="0071415B" w:rsidP="0071415B">
      <w:r>
        <w:t xml:space="preserve">Sauf mention contraire dans ce manuel de maintenance, nettoyez les contacts électriques avec le mélange suivant à l’aide d’une pipette, d’un coton-tige ou d’un applicateur non abrasif similaire : 10 % (par volume) d’acétone, et 90 % (par volume) d’alcool isopropylique (concentré à 90-99 %). </w:t>
      </w:r>
    </w:p>
    <w:p w:rsidR="0071415B" w:rsidRPr="0071415B" w:rsidRDefault="0071415B" w:rsidP="0071415B">
      <w:r>
        <w:t xml:space="preserve">ATTENTION : Ce mélange est inflammable. </w:t>
      </w:r>
    </w:p>
    <w:p w:rsidR="002E6F2B" w:rsidRDefault="002E6F2B" w:rsidP="0071415B"/>
    <w:p w:rsidR="0071415B" w:rsidRPr="0071415B" w:rsidRDefault="0071415B" w:rsidP="0071415B">
      <w:r>
        <w:t xml:space="preserve">Sauf mention contraire dans ce manuel de maintenance, la lubrification des contacts n’est pas nécessaire. Les condensateurs peuvent présenter un risque d’explosion. </w:t>
      </w:r>
    </w:p>
    <w:p w:rsidR="0071415B" w:rsidRPr="0071415B" w:rsidRDefault="0071415B" w:rsidP="0071415B">
      <w:r>
        <w:t xml:space="preserve">Ne contournez pas les verrous de tension B+ de prise/port possiblement installés comme décrit dans ce manuel de maintenance. </w:t>
      </w:r>
    </w:p>
    <w:p w:rsidR="0071415B" w:rsidRPr="0071415B" w:rsidRDefault="0071415B" w:rsidP="0071415B">
      <w:r>
        <w:t xml:space="preserve">N’appliquez pas d’alimentation CA à cet instrument et/ou l’un de ses assemblages électriques à moins que tous les dissipateurs thermiques à état solide ne soient correctement installés. </w:t>
      </w:r>
    </w:p>
    <w:p w:rsidR="0071415B" w:rsidRPr="0071415B" w:rsidRDefault="0071415B" w:rsidP="0071415B">
      <w:r>
        <w:t xml:space="preserve">Connectez toujours le fil de test de mise à la terre du châssis du récepteur avant la connexion du fil positif de test du récepteur. </w:t>
      </w:r>
    </w:p>
    <w:p w:rsidR="0071415B" w:rsidRPr="0071415B" w:rsidRDefault="0071415B" w:rsidP="0071415B">
      <w:r>
        <w:t xml:space="preserve">Retirez toujours le fil de mise à la terre du récepteur de test en dernier. Les condensateurs peuvent présenter un risque d’explosion. </w:t>
      </w:r>
    </w:p>
    <w:p w:rsidR="0071415B" w:rsidRPr="0071415B" w:rsidRDefault="0071415B" w:rsidP="0071415B">
      <w:r>
        <w:t xml:space="preserve">Utilisez seulement les dispositifs de test spécifiés dans ce manuel de maintenance. ATTENTION : Ne connectez pas la boucle du dispositif de test à un dissipateur thermique de ce récepteur.  Retirez le terminal d’antenne du téléviseur et allumez ce dernier. </w:t>
      </w:r>
    </w:p>
    <w:p w:rsidR="0071415B" w:rsidRPr="0071415B" w:rsidRDefault="0071415B" w:rsidP="0071415B">
      <w:r>
        <w:t xml:space="preserve">La résistance d’isolation entre les terminaux des fiches du cordon et le métal exposé à l’extérieur doit être supérieure à Mohm comme mesuré par l’appareil de mesure de résistance d’isolation de 500 V. </w:t>
      </w:r>
    </w:p>
    <w:p w:rsidR="0071415B" w:rsidRPr="0071415B" w:rsidRDefault="0071415B" w:rsidP="0071415B">
      <w:r>
        <w:t xml:space="preserve">Si la résistance d’isolation est inférieure à M ohm, une réparation est nécessaire. </w:t>
      </w:r>
    </w:p>
    <w:p w:rsidR="0071415B" w:rsidRPr="0071415B" w:rsidRDefault="0071415B" w:rsidP="0071415B">
      <w:r>
        <w:t xml:space="preserve">Si vous ne disposez pas d'un appareil de mesure de la résistance d’isolation de 500 V, utilisez un testeur. Métal exposé à l’extérieur : Sensibilité électrostatique (ES) du terminal d’antenne et du jack de casque.  Certains semiconducteurs (état solide) peuvent être facilement endommagés par l’électricité statique. Ces composants sont souvent appelés Appareils électrostatiquement sensibles (ES) Des appareils ES typiques sont des circuits intégrés, des résistances à effet de champ et des composants semiconducteurs « puces » Utilisez les techniques suivantes pour aider à réduire les risques de dommage causés par une décharge électrostatique sur les composants. </w:t>
      </w:r>
    </w:p>
    <w:p w:rsidR="0071415B" w:rsidRPr="0071415B" w:rsidRDefault="0071415B" w:rsidP="0071415B">
      <w:r>
        <w:t xml:space="preserve">Immédiatement avant de manipuler un composant de type semiconducteur ou un ensemble d’équipement semiconducteur, éliminez toute charge électrostatique de votre corps en touchant une mise à la terre confirmée. Vous pouvez également acheter et porter un bracelet de décharge électrostatique que vous devez retirer avant d’alimenter l’appareil que vous testez. </w:t>
      </w:r>
    </w:p>
    <w:p w:rsidR="0071415B" w:rsidRPr="0071415B" w:rsidRDefault="0071415B" w:rsidP="0071415B">
      <w:r>
        <w:t xml:space="preserve">Après le retrait d’un ensemble électrique équipé d’appareils ES, placez l’ensemble sur une surface conductrice comme une feuille d’aluminium pour éviter la concentration de charge électrostatique ou l’exposition de l’assemblage. </w:t>
      </w:r>
    </w:p>
    <w:p w:rsidR="0071415B" w:rsidRPr="0071415B" w:rsidRDefault="0071415B" w:rsidP="0071415B">
      <w:r>
        <w:t xml:space="preserve">Utilisez seulement un fer à souder à pointe mise à la terre ou dessoudez les appareils ES. </w:t>
      </w:r>
    </w:p>
    <w:p w:rsidR="0071415B" w:rsidRPr="0071415B" w:rsidRDefault="0071415B" w:rsidP="0071415B"/>
    <w:p w:rsidR="002E6F2B" w:rsidRDefault="0071415B" w:rsidP="0071415B">
      <w:r>
        <w:t xml:space="preserve">Utilisez seulement un appareil de retrait de la soudure antistatique. Certains appareils de retrait </w:t>
      </w:r>
      <w:r>
        <w:lastRenderedPageBreak/>
        <w:t xml:space="preserve">de la soudure non classifiés comme antistatiques peuvent générer des charges électriques capables d’endommager les appareils ES. </w:t>
      </w:r>
    </w:p>
    <w:p w:rsidR="0071415B" w:rsidRPr="0071415B" w:rsidRDefault="002E6F2B" w:rsidP="0071415B">
      <w:r>
        <w:t xml:space="preserve">N’utilisez pas de produits chimiques en vaporisateur. Ces derniers peuvent générer des charges électriques capables d’endommager les appareils ES. </w:t>
      </w:r>
    </w:p>
    <w:p w:rsidR="0071415B" w:rsidRPr="0071415B" w:rsidRDefault="0071415B" w:rsidP="0071415B"/>
    <w:p w:rsidR="0071415B" w:rsidRPr="0071415B" w:rsidRDefault="0071415B" w:rsidP="0071415B">
      <w:r>
        <w:t xml:space="preserve">Ne retirez pas un appareil ES de remplacement de son emballage protecteur avant son installation. </w:t>
      </w:r>
    </w:p>
    <w:p w:rsidR="0071415B" w:rsidRPr="0071415B" w:rsidRDefault="0071415B" w:rsidP="0071415B">
      <w:r>
        <w:t xml:space="preserve">(La majorité des appareils ES sont emballés avec leurs fils électriquement mis en court-circuit par de la mousse conductrice, de la feuille d’aluminium ou un matériau comparable). </w:t>
      </w:r>
    </w:p>
    <w:p w:rsidR="0071415B" w:rsidRPr="0071415B" w:rsidRDefault="0071415B" w:rsidP="0071415B">
      <w:r>
        <w:t xml:space="preserve">Immédiatement avant le retrait du matériau protecteur des fils d’un appareil ES de remplacement, mettez le matériau protecteur en contact avec le châssis ou le circuit dans lequel l’appareil sera installé. </w:t>
      </w:r>
    </w:p>
    <w:p w:rsidR="0071415B" w:rsidRPr="0071415B" w:rsidRDefault="0071415B" w:rsidP="0071415B"/>
    <w:p w:rsidR="0071415B" w:rsidRPr="0071415B" w:rsidRDefault="0071415B" w:rsidP="0071415B">
      <w:r>
        <w:t xml:space="preserve">ATTENTION : Assurez-vous de ne pas appliquer de courant au châssis ou au circuit, et respectez toutes les autres précautions de sécurité. </w:t>
      </w:r>
    </w:p>
    <w:p w:rsidR="0071415B" w:rsidRPr="0071415B" w:rsidRDefault="0071415B" w:rsidP="0071415B"/>
    <w:p w:rsidR="0071415B" w:rsidRPr="0071415B" w:rsidRDefault="0071415B" w:rsidP="0071415B">
      <w:r>
        <w:t xml:space="preserve">Évitez de faire trop de mouvements lorsque vous manipulez des appareils ES de remplacement hors de leur emballage. (Les mouvements intempestifs peuvent faire frotter vos vêtements les uns sur les autres, ou les mouvements de vos pieds sur un sol de moquette, ce qui pourrait créer de l’électricité statique). </w:t>
      </w:r>
    </w:p>
    <w:p w:rsidR="002E6F2B" w:rsidRDefault="002E6F2B" w:rsidP="0071415B"/>
    <w:p w:rsidR="0071415B" w:rsidRPr="0071415B" w:rsidRDefault="0071415B" w:rsidP="0071415B">
      <w:r>
        <w:t xml:space="preserve">1-3-7. Commander des pièces de rechange </w:t>
      </w:r>
    </w:p>
    <w:p w:rsidR="0071415B" w:rsidRPr="0071415B" w:rsidRDefault="0071415B" w:rsidP="0071415B">
      <w:r>
        <w:t xml:space="preserve">Veuillez inclure les informations suivantes lorsque vous commandez des pièces. (La lettre de version est particulièrement importante) </w:t>
      </w:r>
    </w:p>
    <w:p w:rsidR="0071415B" w:rsidRPr="0071415B" w:rsidRDefault="0071415B" w:rsidP="0071415B">
      <w:r>
        <w:t xml:space="preserve">Numéro de modèle, numéro de série et version du logiciel </w:t>
      </w:r>
    </w:p>
    <w:p w:rsidR="0071415B" w:rsidRPr="0071415B" w:rsidRDefault="0071415B" w:rsidP="0071415B"/>
    <w:p w:rsidR="0071415B" w:rsidRPr="0071415B" w:rsidRDefault="0071415B" w:rsidP="0071415B">
      <w:r>
        <w:t xml:space="preserve">Le numéro de modèle et le numéro de série se trouvent au dos de chaque produit et la version du logiciel se trouve dans la liste des pièces de rechange. </w:t>
      </w:r>
    </w:p>
    <w:p w:rsidR="0071415B" w:rsidRPr="0071415B" w:rsidRDefault="0071415B" w:rsidP="0071415B">
      <w:r>
        <w:t xml:space="preserve">N° et description de pièce de rechange </w:t>
      </w:r>
    </w:p>
    <w:p w:rsidR="0071415B" w:rsidRPr="0071415B" w:rsidRDefault="0071415B" w:rsidP="0071415B"/>
    <w:p w:rsidR="002E6F2B" w:rsidRDefault="0071415B" w:rsidP="0071415B">
      <w:r>
        <w:t>Vous pouvez trouver cela dans la liste des pièces de rechange</w:t>
      </w:r>
    </w:p>
    <w:p w:rsidR="002E6F2B" w:rsidRDefault="002E6F2B" w:rsidP="0071415B"/>
    <w:p w:rsidR="0071415B" w:rsidRPr="0071415B" w:rsidRDefault="0071415B" w:rsidP="0071415B">
      <w:r>
        <w:t xml:space="preserve">1-2-8. Photos utilisées dans ce mode d’emploi </w:t>
      </w:r>
    </w:p>
    <w:p w:rsidR="0071415B" w:rsidRPr="0071415B" w:rsidRDefault="0071415B" w:rsidP="0071415B">
      <w:r>
        <w:t xml:space="preserve">Les illustrations et les photos utilisées dans ce mode d’emploi peuvent ne pas faire référence au produit final, et peuvent donc varier par rapport au produit que vous possédez. 1-3. Signification des icônes contenues dans ce manuel de maintenance. </w:t>
      </w:r>
    </w:p>
    <w:p w:rsidR="0071415B" w:rsidRPr="0071415B" w:rsidRDefault="0071415B" w:rsidP="0071415B">
      <w:r>
        <w:t xml:space="preserve">Ces icônes sont présentes pour attirer l’attention du lecteur sur une information spécifique. Le sens de chaque icône est décrit dans le tableau ci-dessous : </w:t>
      </w:r>
    </w:p>
    <w:p w:rsidR="0071415B" w:rsidRPr="0071415B" w:rsidRDefault="0071415B" w:rsidP="0071415B">
      <w:r>
        <w:t xml:space="preserve">Remarque : Une « Note » donne une information qui n’est pas indispensable, mais qui pourrait être utile au lecteur, comme des conseils et astuces. </w:t>
      </w:r>
    </w:p>
    <w:p w:rsidR="0071415B" w:rsidRPr="0071415B" w:rsidRDefault="0071415B" w:rsidP="0071415B">
      <w:r>
        <w:t xml:space="preserve">Attention : </w:t>
      </w:r>
    </w:p>
    <w:p w:rsidR="0071415B" w:rsidRPr="0071415B" w:rsidRDefault="0071415B" w:rsidP="0071415B"/>
    <w:p w:rsidR="0071415B" w:rsidRPr="0071415B" w:rsidRDefault="0071415B" w:rsidP="0071415B">
      <w:r>
        <w:t xml:space="preserve">« Attention » indique un danger potentiel, et le lecteur pourrait en faisant une utilisation incorrecte, endommager l’équipement, perdre des données, obtenir un résultat imprévu ou redémarrer (une partie) de la procédure. </w:t>
      </w:r>
    </w:p>
    <w:p w:rsidR="0071415B" w:rsidRPr="0071415B" w:rsidRDefault="0071415B" w:rsidP="0071415B">
      <w:r>
        <w:t xml:space="preserve">Avertissement : </w:t>
      </w:r>
    </w:p>
    <w:p w:rsidR="0071415B" w:rsidRPr="0071415B" w:rsidRDefault="0071415B" w:rsidP="0071415B"/>
    <w:p w:rsidR="0071415B" w:rsidRPr="0071415B" w:rsidRDefault="0071415B" w:rsidP="0071415B">
      <w:r>
        <w:t xml:space="preserve">Un « Avertissement » est utilisé en cas de danger de blessure. Référence : </w:t>
      </w:r>
    </w:p>
    <w:p w:rsidR="0071415B" w:rsidRPr="0071415B" w:rsidRDefault="0071415B" w:rsidP="0071415B">
      <w:r>
        <w:t xml:space="preserve">Une « Référence » renvoie le lecteur vers une autre section de ce classeur ou manuel, où il/elle trouvera plus d’informations sur un sujet spécifique. </w:t>
      </w:r>
    </w:p>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E820E7" w:rsidRPr="0071415B" w:rsidRDefault="0017242D">
      <w:pPr>
        <w:spacing w:before="6"/>
      </w:pPr>
      <w:r>
        <w:lastRenderedPageBreak/>
        <w:t>Liste des outils</w:t>
      </w:r>
    </w:p>
    <w:p w:rsidR="0017242D" w:rsidRPr="0071415B" w:rsidRDefault="0017242D">
      <w:pPr>
        <w:spacing w:before="6"/>
      </w:pPr>
    </w:p>
    <w:tbl>
      <w:tblPr>
        <w:tblStyle w:val="TableNormal"/>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394"/>
        <w:gridCol w:w="5787"/>
      </w:tblGrid>
      <w:tr w:rsidR="00E820E7" w:rsidRPr="0071415B">
        <w:trPr>
          <w:trHeight w:val="1549"/>
        </w:trPr>
        <w:tc>
          <w:tcPr>
            <w:tcW w:w="3394" w:type="dxa"/>
          </w:tcPr>
          <w:p w:rsidR="00E820E7" w:rsidRPr="0071415B" w:rsidRDefault="002E6F2B" w:rsidP="00D860C7">
            <w:pPr>
              <w:pStyle w:val="TableParagraph"/>
              <w:spacing w:before="2" w:line="259" w:lineRule="auto"/>
              <w:ind w:right="174"/>
            </w:pPr>
            <w:r>
              <w:t>Tournevis à tête plate, tournevis en crois et six cavités en lobe (torx).</w:t>
            </w:r>
          </w:p>
        </w:tc>
        <w:tc>
          <w:tcPr>
            <w:tcW w:w="5787" w:type="dxa"/>
          </w:tcPr>
          <w:p w:rsidR="00E820E7" w:rsidRPr="0071415B" w:rsidRDefault="002E6F2B">
            <w:pPr>
              <w:pStyle w:val="TableParagraph"/>
              <w:ind w:left="-1"/>
            </w:pPr>
            <w:r w:rsidRPr="0071415B">
              <w:rPr>
                <w:noProof/>
                <w:lang w:val="en-US" w:eastAsia="zh-CN"/>
              </w:rPr>
              <w:drawing>
                <wp:inline distT="0" distB="0" distL="0" distR="0">
                  <wp:extent cx="3354122" cy="96012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3354122" cy="960120"/>
                          </a:xfrm>
                          <a:prstGeom prst="rect">
                            <a:avLst/>
                          </a:prstGeom>
                        </pic:spPr>
                      </pic:pic>
                    </a:graphicData>
                  </a:graphic>
                </wp:inline>
              </w:drawing>
            </w:r>
          </w:p>
        </w:tc>
      </w:tr>
      <w:tr w:rsidR="00E820E7" w:rsidRPr="0071415B">
        <w:trPr>
          <w:trHeight w:val="1639"/>
        </w:trPr>
        <w:tc>
          <w:tcPr>
            <w:tcW w:w="3394" w:type="dxa"/>
          </w:tcPr>
          <w:p w:rsidR="00E820E7" w:rsidRPr="0071415B" w:rsidRDefault="002E6F2B">
            <w:pPr>
              <w:pStyle w:val="TableParagraph"/>
              <w:spacing w:before="2"/>
            </w:pPr>
            <w:r>
              <w:t>Clef Allen</w:t>
            </w:r>
          </w:p>
        </w:tc>
        <w:tc>
          <w:tcPr>
            <w:tcW w:w="5787" w:type="dxa"/>
          </w:tcPr>
          <w:p w:rsidR="00E820E7" w:rsidRPr="0071415B" w:rsidRDefault="002E6F2B">
            <w:pPr>
              <w:pStyle w:val="TableParagraph"/>
              <w:ind w:left="-1"/>
            </w:pPr>
            <w:r w:rsidRPr="0071415B">
              <w:rPr>
                <w:noProof/>
                <w:lang w:val="en-US" w:eastAsia="zh-CN"/>
              </w:rPr>
              <w:drawing>
                <wp:inline distT="0" distB="0" distL="0" distR="0">
                  <wp:extent cx="3366002" cy="1015746"/>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3366002" cy="1015746"/>
                          </a:xfrm>
                          <a:prstGeom prst="rect">
                            <a:avLst/>
                          </a:prstGeom>
                        </pic:spPr>
                      </pic:pic>
                    </a:graphicData>
                  </a:graphic>
                </wp:inline>
              </w:drawing>
            </w:r>
          </w:p>
        </w:tc>
      </w:tr>
      <w:tr w:rsidR="00E820E7" w:rsidRPr="0071415B">
        <w:trPr>
          <w:trHeight w:val="1700"/>
        </w:trPr>
        <w:tc>
          <w:tcPr>
            <w:tcW w:w="3394" w:type="dxa"/>
          </w:tcPr>
          <w:p w:rsidR="00E820E7" w:rsidRPr="0071415B" w:rsidRDefault="002E6F2B">
            <w:pPr>
              <w:pStyle w:val="TableParagraph"/>
              <w:spacing w:before="4"/>
            </w:pPr>
            <w:r>
              <w:t>Clef à molette</w:t>
            </w:r>
          </w:p>
        </w:tc>
        <w:tc>
          <w:tcPr>
            <w:tcW w:w="5787" w:type="dxa"/>
          </w:tcPr>
          <w:p w:rsidR="00E820E7" w:rsidRPr="0071415B" w:rsidRDefault="002E6F2B">
            <w:pPr>
              <w:pStyle w:val="TableParagraph"/>
              <w:ind w:left="-1"/>
            </w:pPr>
            <w:r w:rsidRPr="0071415B">
              <w:rPr>
                <w:noProof/>
                <w:lang w:val="en-US" w:eastAsia="zh-CN"/>
              </w:rPr>
              <w:drawing>
                <wp:inline distT="0" distB="0" distL="0" distR="0">
                  <wp:extent cx="3265750" cy="1059656"/>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3265750" cy="1059656"/>
                          </a:xfrm>
                          <a:prstGeom prst="rect">
                            <a:avLst/>
                          </a:prstGeom>
                        </pic:spPr>
                      </pic:pic>
                    </a:graphicData>
                  </a:graphic>
                </wp:inline>
              </w:drawing>
            </w:r>
          </w:p>
        </w:tc>
      </w:tr>
      <w:tr w:rsidR="00E820E7" w:rsidRPr="0071415B">
        <w:trPr>
          <w:trHeight w:val="1489"/>
        </w:trPr>
        <w:tc>
          <w:tcPr>
            <w:tcW w:w="3394" w:type="dxa"/>
          </w:tcPr>
          <w:p w:rsidR="00E820E7" w:rsidRPr="0071415B" w:rsidRDefault="002E6F2B">
            <w:pPr>
              <w:pStyle w:val="TableParagraph"/>
              <w:spacing w:before="2"/>
            </w:pPr>
            <w:r>
              <w:t>Pince universelle</w:t>
            </w:r>
          </w:p>
        </w:tc>
        <w:tc>
          <w:tcPr>
            <w:tcW w:w="5787" w:type="dxa"/>
          </w:tcPr>
          <w:p w:rsidR="00E820E7" w:rsidRPr="0071415B" w:rsidRDefault="002E6F2B">
            <w:pPr>
              <w:pStyle w:val="TableParagraph"/>
              <w:ind w:left="-1"/>
            </w:pPr>
            <w:r w:rsidRPr="0071415B">
              <w:rPr>
                <w:noProof/>
                <w:lang w:val="en-US" w:eastAsia="zh-CN"/>
              </w:rPr>
              <w:drawing>
                <wp:inline distT="0" distB="0" distL="0" distR="0">
                  <wp:extent cx="2598247" cy="922020"/>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2598247" cy="922020"/>
                          </a:xfrm>
                          <a:prstGeom prst="rect">
                            <a:avLst/>
                          </a:prstGeom>
                        </pic:spPr>
                      </pic:pic>
                    </a:graphicData>
                  </a:graphic>
                </wp:inline>
              </w:drawing>
            </w:r>
          </w:p>
        </w:tc>
      </w:tr>
      <w:tr w:rsidR="00E820E7" w:rsidRPr="0071415B">
        <w:trPr>
          <w:trHeight w:val="1729"/>
        </w:trPr>
        <w:tc>
          <w:tcPr>
            <w:tcW w:w="3394" w:type="dxa"/>
          </w:tcPr>
          <w:p w:rsidR="00E820E7" w:rsidRPr="0071415B" w:rsidRDefault="002E6F2B">
            <w:pPr>
              <w:pStyle w:val="TableParagraph"/>
              <w:spacing w:before="4"/>
            </w:pPr>
            <w:r>
              <w:t>Pince à tête coudée</w:t>
            </w:r>
          </w:p>
        </w:tc>
        <w:tc>
          <w:tcPr>
            <w:tcW w:w="5787" w:type="dxa"/>
          </w:tcPr>
          <w:p w:rsidR="00E820E7" w:rsidRPr="0071415B" w:rsidRDefault="002E6F2B">
            <w:pPr>
              <w:pStyle w:val="TableParagraph"/>
              <w:ind w:left="-1"/>
            </w:pPr>
            <w:r w:rsidRPr="0071415B">
              <w:rPr>
                <w:noProof/>
                <w:lang w:val="en-US" w:eastAsia="zh-CN"/>
              </w:rPr>
              <w:drawing>
                <wp:inline distT="0" distB="0" distL="0" distR="0">
                  <wp:extent cx="2722762" cy="1083468"/>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2722762" cy="1083468"/>
                          </a:xfrm>
                          <a:prstGeom prst="rect">
                            <a:avLst/>
                          </a:prstGeom>
                        </pic:spPr>
                      </pic:pic>
                    </a:graphicData>
                  </a:graphic>
                </wp:inline>
              </w:drawing>
            </w:r>
          </w:p>
        </w:tc>
      </w:tr>
      <w:tr w:rsidR="00E820E7" w:rsidRPr="0071415B">
        <w:trPr>
          <w:trHeight w:val="1612"/>
        </w:trPr>
        <w:tc>
          <w:tcPr>
            <w:tcW w:w="3394" w:type="dxa"/>
          </w:tcPr>
          <w:p w:rsidR="00E820E7" w:rsidRPr="0071415B" w:rsidRDefault="002E6F2B">
            <w:pPr>
              <w:pStyle w:val="TableParagraph"/>
              <w:spacing w:before="4"/>
            </w:pPr>
            <w:r>
              <w:t>Pince coupante</w:t>
            </w:r>
          </w:p>
        </w:tc>
        <w:tc>
          <w:tcPr>
            <w:tcW w:w="5787" w:type="dxa"/>
          </w:tcPr>
          <w:p w:rsidR="00E820E7" w:rsidRPr="0071415B" w:rsidRDefault="002E6F2B">
            <w:pPr>
              <w:pStyle w:val="TableParagraph"/>
              <w:ind w:left="-1"/>
            </w:pPr>
            <w:r w:rsidRPr="0071415B">
              <w:rPr>
                <w:noProof/>
                <w:lang w:val="en-US" w:eastAsia="zh-CN"/>
              </w:rPr>
              <w:drawing>
                <wp:inline distT="0" distB="0" distL="0" distR="0">
                  <wp:extent cx="2641215" cy="1000125"/>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2" cstate="print"/>
                          <a:stretch>
                            <a:fillRect/>
                          </a:stretch>
                        </pic:blipFill>
                        <pic:spPr>
                          <a:xfrm>
                            <a:off x="0" y="0"/>
                            <a:ext cx="2641215" cy="1000125"/>
                          </a:xfrm>
                          <a:prstGeom prst="rect">
                            <a:avLst/>
                          </a:prstGeom>
                        </pic:spPr>
                      </pic:pic>
                    </a:graphicData>
                  </a:graphic>
                </wp:inline>
              </w:drawing>
            </w:r>
          </w:p>
        </w:tc>
      </w:tr>
      <w:tr w:rsidR="00E820E7" w:rsidRPr="0071415B">
        <w:trPr>
          <w:trHeight w:val="1610"/>
        </w:trPr>
        <w:tc>
          <w:tcPr>
            <w:tcW w:w="3394" w:type="dxa"/>
          </w:tcPr>
          <w:p w:rsidR="00E820E7" w:rsidRPr="0071415B" w:rsidRDefault="002E6F2B">
            <w:pPr>
              <w:pStyle w:val="TableParagraph"/>
              <w:spacing w:before="2"/>
            </w:pPr>
            <w:r>
              <w:t>Pince multimanche</w:t>
            </w:r>
          </w:p>
        </w:tc>
        <w:tc>
          <w:tcPr>
            <w:tcW w:w="5787" w:type="dxa"/>
          </w:tcPr>
          <w:p w:rsidR="00E820E7" w:rsidRPr="0071415B" w:rsidRDefault="002E6F2B">
            <w:pPr>
              <w:pStyle w:val="TableParagraph"/>
              <w:ind w:left="-1"/>
            </w:pPr>
            <w:r w:rsidRPr="0071415B">
              <w:rPr>
                <w:noProof/>
                <w:lang w:val="en-US" w:eastAsia="zh-CN"/>
              </w:rPr>
              <w:drawing>
                <wp:inline distT="0" distB="0" distL="0" distR="0">
                  <wp:extent cx="2799387" cy="996124"/>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3" cstate="print"/>
                          <a:stretch>
                            <a:fillRect/>
                          </a:stretch>
                        </pic:blipFill>
                        <pic:spPr>
                          <a:xfrm>
                            <a:off x="0" y="0"/>
                            <a:ext cx="2799387" cy="996124"/>
                          </a:xfrm>
                          <a:prstGeom prst="rect">
                            <a:avLst/>
                          </a:prstGeom>
                        </pic:spPr>
                      </pic:pic>
                    </a:graphicData>
                  </a:graphic>
                </wp:inline>
              </w:drawing>
            </w:r>
          </w:p>
        </w:tc>
      </w:tr>
      <w:tr w:rsidR="00E820E7" w:rsidRPr="0071415B">
        <w:trPr>
          <w:trHeight w:val="1489"/>
        </w:trPr>
        <w:tc>
          <w:tcPr>
            <w:tcW w:w="3394" w:type="dxa"/>
            <w:tcBorders>
              <w:bottom w:val="single" w:sz="4" w:space="0" w:color="000000"/>
            </w:tcBorders>
          </w:tcPr>
          <w:p w:rsidR="00E820E7" w:rsidRPr="0071415B" w:rsidRDefault="002E6F2B" w:rsidP="00D860C7">
            <w:pPr>
              <w:pStyle w:val="TableParagraph"/>
              <w:spacing w:before="2"/>
            </w:pPr>
            <w:r>
              <w:t>Pince à verrou / pince universelle pour dénuder et fermer les bornes</w:t>
            </w:r>
          </w:p>
        </w:tc>
        <w:tc>
          <w:tcPr>
            <w:tcW w:w="5787" w:type="dxa"/>
            <w:tcBorders>
              <w:bottom w:val="single" w:sz="4" w:space="0" w:color="000000"/>
            </w:tcBorders>
          </w:tcPr>
          <w:p w:rsidR="00E820E7" w:rsidRPr="0071415B" w:rsidRDefault="002E6F2B">
            <w:pPr>
              <w:pStyle w:val="TableParagraph"/>
              <w:ind w:left="-1"/>
            </w:pPr>
            <w:r w:rsidRPr="0071415B">
              <w:rPr>
                <w:noProof/>
                <w:lang w:val="en-US" w:eastAsia="zh-CN"/>
              </w:rPr>
              <w:drawing>
                <wp:inline distT="0" distB="0" distL="0" distR="0">
                  <wp:extent cx="3044701" cy="924972"/>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4" cstate="print"/>
                          <a:stretch>
                            <a:fillRect/>
                          </a:stretch>
                        </pic:blipFill>
                        <pic:spPr>
                          <a:xfrm>
                            <a:off x="0" y="0"/>
                            <a:ext cx="3044701" cy="924972"/>
                          </a:xfrm>
                          <a:prstGeom prst="rect">
                            <a:avLst/>
                          </a:prstGeom>
                        </pic:spPr>
                      </pic:pic>
                    </a:graphicData>
                  </a:graphic>
                </wp:inline>
              </w:drawing>
            </w:r>
          </w:p>
        </w:tc>
      </w:tr>
    </w:tbl>
    <w:p w:rsidR="0071415B" w:rsidRDefault="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Default="0071415B" w:rsidP="0071415B"/>
    <w:p w:rsidR="00E820E7" w:rsidRPr="0071415B" w:rsidRDefault="0071415B" w:rsidP="0071415B">
      <w:pPr>
        <w:tabs>
          <w:tab w:val="center" w:pos="4725"/>
        </w:tabs>
        <w:sectPr w:rsidR="00E820E7" w:rsidRPr="0071415B">
          <w:footerReference w:type="default" r:id="rId15"/>
          <w:type w:val="continuous"/>
          <w:pgSz w:w="11910" w:h="16840"/>
          <w:pgMar w:top="1580" w:right="1160" w:bottom="280" w:left="1300" w:header="720" w:footer="720" w:gutter="0"/>
          <w:cols w:space="720"/>
        </w:sectPr>
      </w:pPr>
      <w:r>
        <w:tab/>
      </w:r>
    </w:p>
    <w:tbl>
      <w:tblPr>
        <w:tblStyle w:val="TableNorm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94"/>
        <w:gridCol w:w="5787"/>
      </w:tblGrid>
      <w:tr w:rsidR="00E820E7" w:rsidRPr="0071415B">
        <w:trPr>
          <w:trHeight w:val="1641"/>
        </w:trPr>
        <w:tc>
          <w:tcPr>
            <w:tcW w:w="3394" w:type="dxa"/>
          </w:tcPr>
          <w:p w:rsidR="00E820E7" w:rsidRPr="0071415B" w:rsidRDefault="002E6F2B">
            <w:pPr>
              <w:pStyle w:val="TableParagraph"/>
              <w:spacing w:before="2"/>
              <w:ind w:left="115"/>
            </w:pPr>
            <w:r>
              <w:lastRenderedPageBreak/>
              <w:t>Pince à épiler</w:t>
            </w:r>
          </w:p>
        </w:tc>
        <w:tc>
          <w:tcPr>
            <w:tcW w:w="5787" w:type="dxa"/>
          </w:tcPr>
          <w:p w:rsidR="00E820E7" w:rsidRPr="0071415B" w:rsidRDefault="00E820E7">
            <w:pPr>
              <w:pStyle w:val="TableParagraph"/>
              <w:ind w:left="0"/>
            </w:pPr>
          </w:p>
          <w:p w:rsidR="00E820E7" w:rsidRPr="0071415B" w:rsidRDefault="00E820E7">
            <w:pPr>
              <w:pStyle w:val="TableParagraph"/>
              <w:spacing w:before="6"/>
              <w:ind w:left="0"/>
            </w:pPr>
          </w:p>
          <w:p w:rsidR="00E820E7" w:rsidRPr="0071415B" w:rsidRDefault="002E6F2B">
            <w:pPr>
              <w:pStyle w:val="TableParagraph"/>
              <w:ind w:left="620"/>
            </w:pPr>
            <w:r w:rsidRPr="0071415B">
              <w:rPr>
                <w:noProof/>
                <w:lang w:val="en-US" w:eastAsia="zh-CN"/>
              </w:rPr>
              <w:drawing>
                <wp:inline distT="0" distB="0" distL="0" distR="0">
                  <wp:extent cx="1544065" cy="286035"/>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16" cstate="print"/>
                          <a:stretch>
                            <a:fillRect/>
                          </a:stretch>
                        </pic:blipFill>
                        <pic:spPr>
                          <a:xfrm>
                            <a:off x="0" y="0"/>
                            <a:ext cx="1544065" cy="286035"/>
                          </a:xfrm>
                          <a:prstGeom prst="rect">
                            <a:avLst/>
                          </a:prstGeom>
                        </pic:spPr>
                      </pic:pic>
                    </a:graphicData>
                  </a:graphic>
                </wp:inline>
              </w:drawing>
            </w:r>
          </w:p>
        </w:tc>
      </w:tr>
      <w:tr w:rsidR="00E820E7" w:rsidRPr="0071415B">
        <w:trPr>
          <w:trHeight w:val="1429"/>
        </w:trPr>
        <w:tc>
          <w:tcPr>
            <w:tcW w:w="3394" w:type="dxa"/>
            <w:tcBorders>
              <w:left w:val="single" w:sz="8" w:space="0" w:color="000000"/>
              <w:bottom w:val="single" w:sz="8" w:space="0" w:color="000000"/>
              <w:right w:val="single" w:sz="8" w:space="0" w:color="000000"/>
            </w:tcBorders>
          </w:tcPr>
          <w:p w:rsidR="00E820E7" w:rsidRPr="0071415B" w:rsidRDefault="002E6F2B">
            <w:pPr>
              <w:pStyle w:val="TableParagraph"/>
            </w:pPr>
            <w:r>
              <w:t>Marteau (tête métallique)</w:t>
            </w:r>
          </w:p>
        </w:tc>
        <w:tc>
          <w:tcPr>
            <w:tcW w:w="5787" w:type="dxa"/>
            <w:tcBorders>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lang w:val="en-US" w:eastAsia="zh-CN"/>
              </w:rPr>
              <w:drawing>
                <wp:inline distT="0" distB="0" distL="0" distR="0">
                  <wp:extent cx="2911768" cy="898969"/>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17" cstate="print"/>
                          <a:stretch>
                            <a:fillRect/>
                          </a:stretch>
                        </pic:blipFill>
                        <pic:spPr>
                          <a:xfrm>
                            <a:off x="0" y="0"/>
                            <a:ext cx="2911768" cy="898969"/>
                          </a:xfrm>
                          <a:prstGeom prst="rect">
                            <a:avLst/>
                          </a:prstGeom>
                        </pic:spPr>
                      </pic:pic>
                    </a:graphicData>
                  </a:graphic>
                </wp:inline>
              </w:drawing>
            </w:r>
          </w:p>
        </w:tc>
      </w:tr>
      <w:tr w:rsidR="00E820E7" w:rsidRPr="0071415B">
        <w:trPr>
          <w:trHeight w:val="1670"/>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9" w:lineRule="auto"/>
              <w:ind w:right="174"/>
            </w:pPr>
            <w:r>
              <w:t>Couteau utilitaire (cutter) avec lame rétractable</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lang w:val="en-US" w:eastAsia="zh-CN"/>
              </w:rPr>
              <w:drawing>
                <wp:inline distT="0" distB="0" distL="0" distR="0">
                  <wp:extent cx="2600051" cy="1048797"/>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18" cstate="print"/>
                          <a:stretch>
                            <a:fillRect/>
                          </a:stretch>
                        </pic:blipFill>
                        <pic:spPr>
                          <a:xfrm>
                            <a:off x="0" y="0"/>
                            <a:ext cx="2600051" cy="1048797"/>
                          </a:xfrm>
                          <a:prstGeom prst="rect">
                            <a:avLst/>
                          </a:prstGeom>
                        </pic:spPr>
                      </pic:pic>
                    </a:graphicData>
                  </a:graphic>
                </wp:inline>
              </w:drawing>
            </w:r>
          </w:p>
        </w:tc>
      </w:tr>
      <w:tr w:rsidR="00E820E7" w:rsidRPr="0071415B">
        <w:trPr>
          <w:trHeight w:val="1729"/>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3" w:lineRule="exact"/>
            </w:pPr>
            <w:r>
              <w:t>Multimètre</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lang w:val="en-US" w:eastAsia="zh-CN"/>
              </w:rPr>
              <w:drawing>
                <wp:inline distT="0" distB="0" distL="0" distR="0">
                  <wp:extent cx="2119131" cy="1068133"/>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19" cstate="print"/>
                          <a:stretch>
                            <a:fillRect/>
                          </a:stretch>
                        </pic:blipFill>
                        <pic:spPr>
                          <a:xfrm>
                            <a:off x="0" y="0"/>
                            <a:ext cx="2119131" cy="1068133"/>
                          </a:xfrm>
                          <a:prstGeom prst="rect">
                            <a:avLst/>
                          </a:prstGeom>
                        </pic:spPr>
                      </pic:pic>
                    </a:graphicData>
                  </a:graphic>
                </wp:inline>
              </w:drawing>
            </w:r>
          </w:p>
        </w:tc>
      </w:tr>
      <w:tr w:rsidR="00E820E7" w:rsidRPr="0071415B">
        <w:trPr>
          <w:trHeight w:val="1521"/>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before="2"/>
            </w:pPr>
            <w:r>
              <w:t>Tensiomètre (testeur de tension)</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lang w:val="en-US" w:eastAsia="zh-CN"/>
              </w:rPr>
              <w:drawing>
                <wp:inline distT="0" distB="0" distL="0" distR="0">
                  <wp:extent cx="3201393" cy="946403"/>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20" cstate="print"/>
                          <a:stretch>
                            <a:fillRect/>
                          </a:stretch>
                        </pic:blipFill>
                        <pic:spPr>
                          <a:xfrm>
                            <a:off x="0" y="0"/>
                            <a:ext cx="3201393" cy="946403"/>
                          </a:xfrm>
                          <a:prstGeom prst="rect">
                            <a:avLst/>
                          </a:prstGeom>
                        </pic:spPr>
                      </pic:pic>
                    </a:graphicData>
                  </a:graphic>
                </wp:inline>
              </w:drawing>
            </w:r>
          </w:p>
        </w:tc>
      </w:tr>
      <w:tr w:rsidR="00E820E7" w:rsidRPr="0071415B">
        <w:trPr>
          <w:trHeight w:val="1520"/>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3" w:lineRule="exact"/>
            </w:pPr>
            <w:r>
              <w:t>Fer à souder</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lang w:val="en-US" w:eastAsia="zh-CN"/>
              </w:rPr>
              <w:drawing>
                <wp:inline distT="0" distB="0" distL="0" distR="0">
                  <wp:extent cx="2442750" cy="951547"/>
                  <wp:effectExtent l="0" t="0" r="0" b="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jpeg"/>
                          <pic:cNvPicPr/>
                        </pic:nvPicPr>
                        <pic:blipFill>
                          <a:blip r:embed="rId21" cstate="print"/>
                          <a:stretch>
                            <a:fillRect/>
                          </a:stretch>
                        </pic:blipFill>
                        <pic:spPr>
                          <a:xfrm>
                            <a:off x="0" y="0"/>
                            <a:ext cx="2442750" cy="951547"/>
                          </a:xfrm>
                          <a:prstGeom prst="rect">
                            <a:avLst/>
                          </a:prstGeom>
                        </pic:spPr>
                      </pic:pic>
                    </a:graphicData>
                  </a:graphic>
                </wp:inline>
              </w:drawing>
            </w:r>
          </w:p>
        </w:tc>
      </w:tr>
      <w:tr w:rsidR="00E820E7" w:rsidRPr="0071415B">
        <w:trPr>
          <w:trHeight w:val="1458"/>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3" w:lineRule="exact"/>
            </w:pPr>
            <w:r>
              <w:t>Pistolet à colle</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lang w:val="en-US" w:eastAsia="zh-CN"/>
              </w:rPr>
              <w:drawing>
                <wp:inline distT="0" distB="0" distL="0" distR="0">
                  <wp:extent cx="2171065" cy="901064"/>
                  <wp:effectExtent l="0" t="0" r="0" b="0"/>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jpeg"/>
                          <pic:cNvPicPr/>
                        </pic:nvPicPr>
                        <pic:blipFill>
                          <a:blip r:embed="rId22" cstate="print"/>
                          <a:stretch>
                            <a:fillRect/>
                          </a:stretch>
                        </pic:blipFill>
                        <pic:spPr>
                          <a:xfrm>
                            <a:off x="0" y="0"/>
                            <a:ext cx="2171065" cy="901064"/>
                          </a:xfrm>
                          <a:prstGeom prst="rect">
                            <a:avLst/>
                          </a:prstGeom>
                        </pic:spPr>
                      </pic:pic>
                    </a:graphicData>
                  </a:graphic>
                </wp:inline>
              </w:drawing>
            </w:r>
          </w:p>
        </w:tc>
      </w:tr>
      <w:tr w:rsidR="00E820E7" w:rsidRPr="0071415B">
        <w:trPr>
          <w:trHeight w:val="1552"/>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before="2"/>
            </w:pPr>
            <w:r>
              <w:t>Loupe</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lang w:val="en-US" w:eastAsia="zh-CN"/>
              </w:rPr>
              <w:drawing>
                <wp:inline distT="0" distB="0" distL="0" distR="0">
                  <wp:extent cx="1947128" cy="950976"/>
                  <wp:effectExtent l="0" t="0" r="0" b="0"/>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jpeg"/>
                          <pic:cNvPicPr/>
                        </pic:nvPicPr>
                        <pic:blipFill>
                          <a:blip r:embed="rId23" cstate="print"/>
                          <a:stretch>
                            <a:fillRect/>
                          </a:stretch>
                        </pic:blipFill>
                        <pic:spPr>
                          <a:xfrm>
                            <a:off x="0" y="0"/>
                            <a:ext cx="1947128" cy="950976"/>
                          </a:xfrm>
                          <a:prstGeom prst="rect">
                            <a:avLst/>
                          </a:prstGeom>
                        </pic:spPr>
                      </pic:pic>
                    </a:graphicData>
                  </a:graphic>
                </wp:inline>
              </w:drawing>
            </w:r>
          </w:p>
        </w:tc>
      </w:tr>
    </w:tbl>
    <w:p w:rsidR="001A153F" w:rsidRDefault="001A153F"/>
    <w:p w:rsidR="0071415B" w:rsidRPr="0071415B" w:rsidRDefault="0071415B"/>
    <w:sectPr w:rsidR="0071415B" w:rsidRPr="0071415B" w:rsidSect="001A153F">
      <w:pgSz w:w="11910" w:h="16840"/>
      <w:pgMar w:top="1400" w:right="1160" w:bottom="280" w:left="13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A57" w:rsidRDefault="007E2A57" w:rsidP="0071415B">
      <w:r>
        <w:separator/>
      </w:r>
    </w:p>
  </w:endnote>
  <w:endnote w:type="continuationSeparator" w:id="0">
    <w:p w:rsidR="007E2A57" w:rsidRDefault="007E2A57" w:rsidP="007141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533" w:rsidRDefault="007E2A57">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A57" w:rsidRDefault="007E2A57" w:rsidP="0071415B">
      <w:r>
        <w:separator/>
      </w:r>
    </w:p>
  </w:footnote>
  <w:footnote w:type="continuationSeparator" w:id="0">
    <w:p w:rsidR="007E2A57" w:rsidRDefault="007E2A57" w:rsidP="007141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720"/>
  <w:hyphenationZone w:val="425"/>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ulTrailSpace/>
    <w:useFELayout/>
  </w:compat>
  <w:rsids>
    <w:rsidRoot w:val="00E820E7"/>
    <w:rsid w:val="0017242D"/>
    <w:rsid w:val="001A153F"/>
    <w:rsid w:val="002E6F2B"/>
    <w:rsid w:val="003316E5"/>
    <w:rsid w:val="0040039A"/>
    <w:rsid w:val="00587728"/>
    <w:rsid w:val="005979D2"/>
    <w:rsid w:val="0071415B"/>
    <w:rsid w:val="00753050"/>
    <w:rsid w:val="007E2A57"/>
    <w:rsid w:val="008B017C"/>
    <w:rsid w:val="00906CE9"/>
    <w:rsid w:val="00AA016E"/>
    <w:rsid w:val="00D860C7"/>
    <w:rsid w:val="00E82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53F"/>
    <w:rPr>
      <w:rFonts w:ascii="Arial" w:eastAsia="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A153F"/>
    <w:tblPr>
      <w:tblInd w:w="0" w:type="dxa"/>
      <w:tblCellMar>
        <w:top w:w="0" w:type="dxa"/>
        <w:left w:w="0" w:type="dxa"/>
        <w:bottom w:w="0" w:type="dxa"/>
        <w:right w:w="0" w:type="dxa"/>
      </w:tblCellMar>
    </w:tblPr>
  </w:style>
  <w:style w:type="paragraph" w:styleId="a3">
    <w:name w:val="Body Text"/>
    <w:basedOn w:val="a"/>
    <w:uiPriority w:val="1"/>
    <w:qFormat/>
    <w:rsid w:val="001A153F"/>
    <w:rPr>
      <w:rFonts w:ascii="SimSun" w:eastAsia="SimSun" w:hAnsi="SimSun" w:cs="SimSun"/>
    </w:rPr>
  </w:style>
  <w:style w:type="paragraph" w:styleId="a4">
    <w:name w:val="List Paragraph"/>
    <w:basedOn w:val="a"/>
    <w:uiPriority w:val="1"/>
    <w:qFormat/>
    <w:rsid w:val="001A153F"/>
  </w:style>
  <w:style w:type="paragraph" w:customStyle="1" w:styleId="TableParagraph">
    <w:name w:val="Table Paragraph"/>
    <w:basedOn w:val="a"/>
    <w:uiPriority w:val="1"/>
    <w:qFormat/>
    <w:rsid w:val="001A153F"/>
    <w:pPr>
      <w:ind w:left="110"/>
    </w:pPr>
  </w:style>
  <w:style w:type="paragraph" w:styleId="a5">
    <w:name w:val="header"/>
    <w:basedOn w:val="a"/>
    <w:link w:val="Char"/>
    <w:uiPriority w:val="99"/>
    <w:unhideWhenUsed/>
    <w:rsid w:val="0071415B"/>
    <w:pPr>
      <w:tabs>
        <w:tab w:val="center" w:pos="4536"/>
        <w:tab w:val="right" w:pos="9072"/>
      </w:tabs>
    </w:pPr>
  </w:style>
  <w:style w:type="character" w:customStyle="1" w:styleId="Char">
    <w:name w:val="页眉 Char"/>
    <w:basedOn w:val="a0"/>
    <w:link w:val="a5"/>
    <w:uiPriority w:val="99"/>
    <w:rsid w:val="0071415B"/>
    <w:rPr>
      <w:rFonts w:ascii="Arial" w:eastAsia="Arial" w:hAnsi="Arial" w:cs="Arial"/>
    </w:rPr>
  </w:style>
  <w:style w:type="paragraph" w:styleId="a6">
    <w:name w:val="footer"/>
    <w:basedOn w:val="a"/>
    <w:link w:val="Char0"/>
    <w:uiPriority w:val="99"/>
    <w:unhideWhenUsed/>
    <w:rsid w:val="0071415B"/>
    <w:pPr>
      <w:tabs>
        <w:tab w:val="center" w:pos="4536"/>
        <w:tab w:val="right" w:pos="9072"/>
      </w:tabs>
    </w:pPr>
  </w:style>
  <w:style w:type="character" w:customStyle="1" w:styleId="Char0">
    <w:name w:val="页脚 Char"/>
    <w:basedOn w:val="a0"/>
    <w:link w:val="a6"/>
    <w:uiPriority w:val="99"/>
    <w:rsid w:val="0071415B"/>
    <w:rPr>
      <w:rFonts w:ascii="Arial" w:eastAsia="Arial" w:hAnsi="Arial" w:cs="Arial"/>
    </w:rPr>
  </w:style>
  <w:style w:type="paragraph" w:styleId="a7">
    <w:name w:val="Balloon Text"/>
    <w:basedOn w:val="a"/>
    <w:link w:val="Char1"/>
    <w:uiPriority w:val="99"/>
    <w:semiHidden/>
    <w:unhideWhenUsed/>
    <w:rsid w:val="00D860C7"/>
    <w:rPr>
      <w:sz w:val="18"/>
      <w:szCs w:val="18"/>
    </w:rPr>
  </w:style>
  <w:style w:type="character" w:customStyle="1" w:styleId="Char1">
    <w:name w:val="批注框文本 Char"/>
    <w:basedOn w:val="a0"/>
    <w:link w:val="a7"/>
    <w:uiPriority w:val="99"/>
    <w:semiHidden/>
    <w:rsid w:val="00D860C7"/>
    <w:rPr>
      <w:rFonts w:ascii="Arial" w:eastAsia="Arial" w:hAnsi="Arial" w:cs="Arial"/>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16.jpeg"/><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1E1EA-2B60-4340-B4D3-A76A8947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1603</Words>
  <Characters>9141</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MARKET MAKER</Company>
  <LinksUpToDate>false</LinksUpToDate>
  <CharactersWithSpaces>10723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Denijs</dc:creator>
  <cp:lastModifiedBy>Administrator</cp:lastModifiedBy>
  <cp:revision>5</cp:revision>
  <dcterms:created xsi:type="dcterms:W3CDTF">2021-07-12T12:47:00Z</dcterms:created>
  <dcterms:modified xsi:type="dcterms:W3CDTF">2021-07-27T15:21:00Z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2021-07-12T00:00:00Z</vt:filetime>
  </property>
  <property fmtid="{D5CDD505-2E9C-101B-9397-08002B2CF9AE}" pid="3" name="Creator">
    <vt:lpwstr>Microsoft® Word 2019</vt:lpwstr>
  </property>
  <property fmtid="{D5CDD505-2E9C-101B-9397-08002B2CF9AE}" pid="4" name="LastSaved">
    <vt:filetime>2021-07-12T00:00:00Z</vt:filetime>
  </property>
</Properties>
</file>